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FD19D" w14:textId="7010D5BC" w:rsidR="008663E9" w:rsidRDefault="008663E9" w:rsidP="00AF65BA">
      <w:pPr>
        <w:rPr>
          <w:b/>
          <w:szCs w:val="22"/>
        </w:rPr>
      </w:pPr>
      <w:bookmarkStart w:id="0" w:name="_GoBack"/>
      <w:bookmarkEnd w:id="0"/>
      <w:r>
        <w:rPr>
          <w:b/>
          <w:noProof/>
          <w:szCs w:val="22"/>
        </w:rPr>
        <w:drawing>
          <wp:anchor distT="0" distB="0" distL="114300" distR="114300" simplePos="0" relativeHeight="251659264" behindDoc="0" locked="0" layoutInCell="1" allowOverlap="1" wp14:anchorId="1C1611D0" wp14:editId="6731CAF7">
            <wp:simplePos x="0" y="0"/>
            <wp:positionH relativeFrom="page">
              <wp:posOffset>38100</wp:posOffset>
            </wp:positionH>
            <wp:positionV relativeFrom="paragraph">
              <wp:posOffset>-887095</wp:posOffset>
            </wp:positionV>
            <wp:extent cx="4230000" cy="1440000"/>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_10th_Anniversary_letterhe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30000" cy="1440000"/>
                    </a:xfrm>
                    <a:prstGeom prst="rect">
                      <a:avLst/>
                    </a:prstGeom>
                  </pic:spPr>
                </pic:pic>
              </a:graphicData>
            </a:graphic>
            <wp14:sizeRelH relativeFrom="margin">
              <wp14:pctWidth>0</wp14:pctWidth>
            </wp14:sizeRelH>
            <wp14:sizeRelV relativeFrom="margin">
              <wp14:pctHeight>0</wp14:pctHeight>
            </wp14:sizeRelV>
          </wp:anchor>
        </w:drawing>
      </w:r>
    </w:p>
    <w:p w14:paraId="72F7659E" w14:textId="56C57470" w:rsidR="008663E9" w:rsidRDefault="008663E9" w:rsidP="00AF65BA">
      <w:pPr>
        <w:rPr>
          <w:b/>
          <w:szCs w:val="22"/>
        </w:rPr>
      </w:pPr>
    </w:p>
    <w:p w14:paraId="1F630CE3" w14:textId="77777777" w:rsidR="008663E9" w:rsidRDefault="008663E9" w:rsidP="008663E9">
      <w:pPr>
        <w:jc w:val="right"/>
        <w:rPr>
          <w:b/>
          <w:szCs w:val="22"/>
        </w:rPr>
      </w:pPr>
    </w:p>
    <w:p w14:paraId="1794BECC" w14:textId="54F945A6" w:rsidR="008663E9" w:rsidRDefault="00DE0DE7" w:rsidP="008663E9">
      <w:pPr>
        <w:jc w:val="right"/>
        <w:rPr>
          <w:b/>
          <w:szCs w:val="22"/>
        </w:rPr>
      </w:pPr>
      <w:r>
        <w:rPr>
          <w:b/>
          <w:szCs w:val="22"/>
        </w:rPr>
        <w:t>27</w:t>
      </w:r>
      <w:r w:rsidR="008663E9">
        <w:rPr>
          <w:b/>
          <w:szCs w:val="22"/>
        </w:rPr>
        <w:t xml:space="preserve"> January 202</w:t>
      </w:r>
      <w:r>
        <w:rPr>
          <w:b/>
          <w:szCs w:val="22"/>
        </w:rPr>
        <w:t>1</w:t>
      </w:r>
    </w:p>
    <w:p w14:paraId="49A2AA32" w14:textId="13A1FE88" w:rsidR="00F709D3" w:rsidRPr="00AF65BA" w:rsidRDefault="00E33954" w:rsidP="00AF65BA">
      <w:pPr>
        <w:rPr>
          <w:b/>
          <w:szCs w:val="22"/>
        </w:rPr>
      </w:pPr>
      <w:r w:rsidRPr="00AF65BA">
        <w:rPr>
          <w:b/>
          <w:szCs w:val="22"/>
        </w:rPr>
        <w:t xml:space="preserve">Revised drug sentencing guidelines </w:t>
      </w:r>
      <w:r w:rsidR="00875FE7">
        <w:rPr>
          <w:b/>
          <w:szCs w:val="22"/>
        </w:rPr>
        <w:t xml:space="preserve">published </w:t>
      </w:r>
      <w:r w:rsidR="00E1720B" w:rsidRPr="00AF65BA">
        <w:rPr>
          <w:b/>
          <w:szCs w:val="22"/>
        </w:rPr>
        <w:t>to reflect changes in offending</w:t>
      </w:r>
      <w:r w:rsidR="00426939">
        <w:rPr>
          <w:b/>
          <w:szCs w:val="22"/>
        </w:rPr>
        <w:t xml:space="preserve"> </w:t>
      </w:r>
    </w:p>
    <w:p w14:paraId="36191A42" w14:textId="2A265248" w:rsidR="00AB58A6" w:rsidRDefault="00DE0DE7" w:rsidP="009733B2">
      <w:pPr>
        <w:spacing w:line="276" w:lineRule="auto"/>
        <w:rPr>
          <w:rFonts w:cs="Arial"/>
          <w:szCs w:val="22"/>
        </w:rPr>
      </w:pPr>
      <w:r>
        <w:rPr>
          <w:rFonts w:cs="Arial"/>
          <w:szCs w:val="22"/>
        </w:rPr>
        <w:t>The Sentencing Council has published</w:t>
      </w:r>
      <w:r w:rsidR="00AB58A6" w:rsidRPr="00560EDD">
        <w:rPr>
          <w:rFonts w:cs="Arial"/>
          <w:szCs w:val="22"/>
        </w:rPr>
        <w:t xml:space="preserve"> revise</w:t>
      </w:r>
      <w:r>
        <w:rPr>
          <w:rFonts w:cs="Arial"/>
          <w:szCs w:val="22"/>
        </w:rPr>
        <w:t>d</w:t>
      </w:r>
      <w:r w:rsidR="00AB58A6" w:rsidRPr="00560EDD">
        <w:rPr>
          <w:rFonts w:cs="Arial"/>
          <w:szCs w:val="22"/>
        </w:rPr>
        <w:t xml:space="preserve"> sentencing guidelines for drugs offences in England and Wales </w:t>
      </w:r>
      <w:r>
        <w:rPr>
          <w:rFonts w:cs="Arial"/>
          <w:szCs w:val="22"/>
        </w:rPr>
        <w:t>following</w:t>
      </w:r>
      <w:r w:rsidR="00AB58A6" w:rsidRPr="00560EDD">
        <w:rPr>
          <w:rFonts w:cs="Arial"/>
          <w:szCs w:val="22"/>
        </w:rPr>
        <w:t xml:space="preserve"> </w:t>
      </w:r>
      <w:r w:rsidR="00446ED5" w:rsidRPr="00462EFC">
        <w:t>consultation</w:t>
      </w:r>
      <w:r w:rsidR="00446ED5">
        <w:t xml:space="preserve"> </w:t>
      </w:r>
      <w:r>
        <w:t>to reflect the</w:t>
      </w:r>
      <w:r w:rsidR="00AB58A6">
        <w:rPr>
          <w:rFonts w:cs="Arial"/>
          <w:szCs w:val="22"/>
        </w:rPr>
        <w:t xml:space="preserve"> chang</w:t>
      </w:r>
      <w:r>
        <w:rPr>
          <w:rFonts w:cs="Arial"/>
          <w:szCs w:val="22"/>
        </w:rPr>
        <w:t>ing</w:t>
      </w:r>
      <w:r w:rsidR="00AB58A6">
        <w:rPr>
          <w:rFonts w:cs="Arial"/>
          <w:szCs w:val="22"/>
        </w:rPr>
        <w:t xml:space="preserve"> nature of offending, </w:t>
      </w:r>
      <w:r w:rsidR="009D0107">
        <w:rPr>
          <w:rFonts w:cs="Arial"/>
          <w:szCs w:val="22"/>
        </w:rPr>
        <w:t xml:space="preserve">the </w:t>
      </w:r>
      <w:r w:rsidR="004568D6">
        <w:rPr>
          <w:rFonts w:cs="Arial"/>
          <w:szCs w:val="22"/>
        </w:rPr>
        <w:t xml:space="preserve">increased </w:t>
      </w:r>
      <w:r w:rsidR="009D0107">
        <w:rPr>
          <w:rFonts w:cs="Arial"/>
          <w:szCs w:val="22"/>
        </w:rPr>
        <w:t xml:space="preserve">seriousness of </w:t>
      </w:r>
      <w:r w:rsidR="004568D6">
        <w:rPr>
          <w:rFonts w:cs="Arial"/>
          <w:szCs w:val="22"/>
        </w:rPr>
        <w:t>the</w:t>
      </w:r>
      <w:r w:rsidR="009D0107">
        <w:rPr>
          <w:rFonts w:cs="Arial"/>
          <w:szCs w:val="22"/>
        </w:rPr>
        <w:t xml:space="preserve"> offences, </w:t>
      </w:r>
      <w:r w:rsidR="00AB58A6">
        <w:rPr>
          <w:rFonts w:cs="Arial"/>
          <w:szCs w:val="22"/>
        </w:rPr>
        <w:t>emerging drugs</w:t>
      </w:r>
      <w:r w:rsidR="00B31B81" w:rsidRPr="00B31B81">
        <w:rPr>
          <w:rFonts w:cs="Arial"/>
          <w:szCs w:val="22"/>
        </w:rPr>
        <w:t xml:space="preserve"> </w:t>
      </w:r>
      <w:r w:rsidR="00B31B81">
        <w:rPr>
          <w:rFonts w:cs="Arial"/>
          <w:szCs w:val="22"/>
        </w:rPr>
        <w:t>and new offences in psychoactive substances</w:t>
      </w:r>
      <w:r w:rsidR="00AB58A6">
        <w:rPr>
          <w:rFonts w:cs="Arial"/>
          <w:szCs w:val="22"/>
        </w:rPr>
        <w:t>.</w:t>
      </w:r>
    </w:p>
    <w:p w14:paraId="630BA596" w14:textId="5954C7AF" w:rsidR="00A646B5" w:rsidRDefault="00AB58A6" w:rsidP="00606A36">
      <w:pPr>
        <w:spacing w:line="276" w:lineRule="auto"/>
        <w:rPr>
          <w:rFonts w:cs="Arial"/>
          <w:szCs w:val="22"/>
        </w:rPr>
      </w:pPr>
      <w:r w:rsidRPr="00FA5AC0">
        <w:rPr>
          <w:rFonts w:cs="Arial"/>
          <w:szCs w:val="22"/>
        </w:rPr>
        <w:t xml:space="preserve">The </w:t>
      </w:r>
      <w:r w:rsidR="00DE0DE7">
        <w:rPr>
          <w:rFonts w:cs="Arial"/>
          <w:szCs w:val="22"/>
        </w:rPr>
        <w:t xml:space="preserve">changes apply to </w:t>
      </w:r>
      <w:r w:rsidR="00556809">
        <w:rPr>
          <w:rFonts w:cs="Arial"/>
          <w:szCs w:val="22"/>
        </w:rPr>
        <w:t xml:space="preserve">the current </w:t>
      </w:r>
      <w:r w:rsidR="00885C89">
        <w:rPr>
          <w:rFonts w:cs="Arial"/>
          <w:szCs w:val="22"/>
        </w:rPr>
        <w:t xml:space="preserve">drug offences </w:t>
      </w:r>
      <w:r w:rsidR="00556809">
        <w:rPr>
          <w:rFonts w:cs="Arial"/>
          <w:szCs w:val="22"/>
        </w:rPr>
        <w:t>guidelines</w:t>
      </w:r>
      <w:r w:rsidR="003C57ED">
        <w:rPr>
          <w:rFonts w:cs="Arial"/>
          <w:szCs w:val="22"/>
        </w:rPr>
        <w:t>,</w:t>
      </w:r>
      <w:r w:rsidR="005D7B8F" w:rsidRPr="00FA5AC0">
        <w:rPr>
          <w:rFonts w:cs="Arial"/>
          <w:szCs w:val="22"/>
        </w:rPr>
        <w:t xml:space="preserve"> which </w:t>
      </w:r>
      <w:r w:rsidR="00486547" w:rsidRPr="00FA5AC0">
        <w:rPr>
          <w:rFonts w:cs="Arial"/>
          <w:szCs w:val="22"/>
        </w:rPr>
        <w:t>came in</w:t>
      </w:r>
      <w:r w:rsidR="006C7D55">
        <w:rPr>
          <w:rFonts w:cs="Arial"/>
          <w:szCs w:val="22"/>
        </w:rPr>
        <w:t>to force in 2012</w:t>
      </w:r>
      <w:r w:rsidR="000D3095">
        <w:rPr>
          <w:rFonts w:cs="Arial"/>
          <w:szCs w:val="22"/>
        </w:rPr>
        <w:t xml:space="preserve"> </w:t>
      </w:r>
      <w:r w:rsidR="00A601CC">
        <w:rPr>
          <w:rFonts w:cs="Arial"/>
          <w:szCs w:val="22"/>
        </w:rPr>
        <w:t>and cover offences under</w:t>
      </w:r>
      <w:r w:rsidR="00A601CC" w:rsidRPr="00FA5AC0">
        <w:rPr>
          <w:rFonts w:cs="Arial"/>
          <w:szCs w:val="22"/>
        </w:rPr>
        <w:t xml:space="preserve"> </w:t>
      </w:r>
      <w:r w:rsidR="00A646B5" w:rsidRPr="00FA5AC0">
        <w:rPr>
          <w:rFonts w:cs="Arial"/>
          <w:szCs w:val="22"/>
        </w:rPr>
        <w:t>the Misuse of Drugs Act</w:t>
      </w:r>
      <w:r w:rsidR="00A646B5">
        <w:rPr>
          <w:rFonts w:cs="Arial"/>
          <w:szCs w:val="22"/>
        </w:rPr>
        <w:t xml:space="preserve"> (MDA)</w:t>
      </w:r>
      <w:r w:rsidR="00A646B5" w:rsidRPr="00FA5AC0">
        <w:rPr>
          <w:rFonts w:cs="Arial"/>
          <w:szCs w:val="22"/>
        </w:rPr>
        <w:t xml:space="preserve"> 1971</w:t>
      </w:r>
      <w:r w:rsidR="00A601CC">
        <w:rPr>
          <w:rFonts w:cs="Arial"/>
          <w:szCs w:val="22"/>
        </w:rPr>
        <w:t xml:space="preserve"> </w:t>
      </w:r>
      <w:r w:rsidR="00610335">
        <w:rPr>
          <w:rFonts w:cs="Arial"/>
          <w:szCs w:val="22"/>
        </w:rPr>
        <w:t xml:space="preserve">to bring them up to date with </w:t>
      </w:r>
      <w:r w:rsidR="003C57ED">
        <w:rPr>
          <w:rFonts w:cs="Arial"/>
          <w:szCs w:val="22"/>
        </w:rPr>
        <w:t xml:space="preserve">modern </w:t>
      </w:r>
      <w:r w:rsidR="00610335">
        <w:rPr>
          <w:rFonts w:cs="Arial"/>
          <w:szCs w:val="22"/>
        </w:rPr>
        <w:t>drug offending</w:t>
      </w:r>
      <w:r w:rsidR="00885C89">
        <w:rPr>
          <w:rFonts w:cs="Arial"/>
          <w:szCs w:val="22"/>
        </w:rPr>
        <w:t xml:space="preserve">, </w:t>
      </w:r>
      <w:r w:rsidR="00610335">
        <w:rPr>
          <w:rFonts w:cs="Arial"/>
          <w:szCs w:val="22"/>
        </w:rPr>
        <w:t>and</w:t>
      </w:r>
      <w:r w:rsidR="00BA2D83">
        <w:rPr>
          <w:rFonts w:cs="Arial"/>
          <w:szCs w:val="22"/>
        </w:rPr>
        <w:t xml:space="preserve"> to</w:t>
      </w:r>
      <w:r w:rsidR="00610335">
        <w:rPr>
          <w:rFonts w:cs="Arial"/>
          <w:szCs w:val="22"/>
        </w:rPr>
        <w:t xml:space="preserve"> </w:t>
      </w:r>
      <w:r w:rsidR="00556809">
        <w:rPr>
          <w:rFonts w:cs="Arial"/>
          <w:szCs w:val="22"/>
        </w:rPr>
        <w:t>introduc</w:t>
      </w:r>
      <w:r w:rsidR="00610335">
        <w:rPr>
          <w:rFonts w:cs="Arial"/>
          <w:szCs w:val="22"/>
        </w:rPr>
        <w:t>e</w:t>
      </w:r>
      <w:r w:rsidR="009E527D">
        <w:rPr>
          <w:rFonts w:cs="Arial"/>
          <w:szCs w:val="22"/>
        </w:rPr>
        <w:t xml:space="preserve"> </w:t>
      </w:r>
      <w:r w:rsidR="00A646B5" w:rsidRPr="00FA5AC0">
        <w:rPr>
          <w:rFonts w:cs="Arial"/>
          <w:szCs w:val="22"/>
        </w:rPr>
        <w:t>guidelines for new offences</w:t>
      </w:r>
      <w:r w:rsidR="00A646B5">
        <w:rPr>
          <w:rFonts w:cs="Arial"/>
          <w:szCs w:val="22"/>
        </w:rPr>
        <w:t xml:space="preserve"> created by the Psychoactive Substances Act</w:t>
      </w:r>
      <w:r w:rsidR="00A601CC">
        <w:rPr>
          <w:rFonts w:cs="Arial"/>
          <w:szCs w:val="22"/>
        </w:rPr>
        <w:t xml:space="preserve"> (PSA) 2016</w:t>
      </w:r>
      <w:r w:rsidR="00A646B5">
        <w:rPr>
          <w:rFonts w:cs="Arial"/>
          <w:szCs w:val="22"/>
        </w:rPr>
        <w:t>.</w:t>
      </w:r>
    </w:p>
    <w:p w14:paraId="4FBD32EA" w14:textId="77777777" w:rsidR="00BE41F9" w:rsidRPr="0037290A" w:rsidRDefault="00BE41F9" w:rsidP="00766DCE">
      <w:pPr>
        <w:spacing w:line="240" w:lineRule="auto"/>
        <w:rPr>
          <w:rFonts w:cs="Arial"/>
        </w:rPr>
      </w:pPr>
      <w:r w:rsidRPr="0037290A">
        <w:rPr>
          <w:rFonts w:cs="Arial"/>
        </w:rPr>
        <w:t xml:space="preserve">Research conducted by the Council in preparation for producing the guidelines indicated that there are disparities in sentence outcomes for some drug offences </w:t>
      </w:r>
      <w:r>
        <w:rPr>
          <w:rFonts w:cs="Arial"/>
        </w:rPr>
        <w:t>associated with</w:t>
      </w:r>
      <w:r w:rsidRPr="0037290A">
        <w:rPr>
          <w:rFonts w:cs="Arial"/>
        </w:rPr>
        <w:t xml:space="preserve"> ethnicity and </w:t>
      </w:r>
      <w:r>
        <w:rPr>
          <w:rFonts w:cs="Arial"/>
        </w:rPr>
        <w:t>sex</w:t>
      </w:r>
      <w:r w:rsidRPr="0037290A">
        <w:rPr>
          <w:rFonts w:cs="Arial"/>
        </w:rPr>
        <w:t xml:space="preserve">. The Council has taken measures in the guidelines to address this, including drawing sentencers’ attention to evidence of sentencing disparities in specific offences as an integral part the sentencing process. </w:t>
      </w:r>
    </w:p>
    <w:p w14:paraId="285725DB" w14:textId="77777777" w:rsidR="00BE41F9" w:rsidRPr="0037290A" w:rsidRDefault="00BE41F9" w:rsidP="00766DCE">
      <w:pPr>
        <w:spacing w:line="240" w:lineRule="auto"/>
        <w:rPr>
          <w:rFonts w:cs="Arial"/>
        </w:rPr>
      </w:pPr>
      <w:r w:rsidRPr="0037290A">
        <w:rPr>
          <w:rFonts w:cs="Arial"/>
        </w:rPr>
        <w:t>The Council is committed to investigating apparent disparity in sentencing outcomes further. As part of this work the Council has convened an internal working group to consider what further steps might be taken in this area and is in the process of commissioning a review of how its guidelines operate to help identify any areas for further work.</w:t>
      </w:r>
    </w:p>
    <w:p w14:paraId="6B0A4FD9" w14:textId="1FA66568" w:rsidR="00DE0DE7" w:rsidRPr="0037290A" w:rsidRDefault="00DE0DE7" w:rsidP="00BA13B2">
      <w:pPr>
        <w:pStyle w:val="CommentText"/>
        <w:spacing w:line="276" w:lineRule="auto"/>
        <w:rPr>
          <w:rFonts w:cs="Arial"/>
          <w:sz w:val="22"/>
          <w:szCs w:val="22"/>
        </w:rPr>
      </w:pPr>
      <w:r w:rsidRPr="0037290A">
        <w:rPr>
          <w:rFonts w:cs="Arial"/>
          <w:sz w:val="22"/>
          <w:szCs w:val="22"/>
        </w:rPr>
        <w:t>These new guidelines introduce aggravating factors that could increase sentences for offenders who use the home of a vulnerable person (so-called ‘cuckooing’), exploit children or run county lines in their offending. In the consultation, these factors were depicted as indicating a leading role in the offending but have now been changed to aggravating factors after consultation to recognise that they are not limited to offenders in a leading role and that offenders lower in the offending chain may also exploit vulnerable people or children in their offending.</w:t>
      </w:r>
    </w:p>
    <w:p w14:paraId="05A61DE3" w14:textId="77777777" w:rsidR="00DE0DE7" w:rsidRPr="0037290A" w:rsidRDefault="00DE0DE7" w:rsidP="00DE0DE7">
      <w:pPr>
        <w:pStyle w:val="ListBullet"/>
        <w:numPr>
          <w:ilvl w:val="0"/>
          <w:numId w:val="0"/>
        </w:numPr>
      </w:pPr>
      <w:r w:rsidRPr="0037290A">
        <w:t xml:space="preserve">The MDA offences of importation, production and supply of </w:t>
      </w:r>
      <w:hyperlink r:id="rId8" w:history="1">
        <w:r w:rsidRPr="0037290A">
          <w:rPr>
            <w:rStyle w:val="Hyperlink"/>
          </w:rPr>
          <w:t>controlled drugs</w:t>
        </w:r>
      </w:hyperlink>
      <w:r w:rsidRPr="0037290A">
        <w:t xml:space="preserve"> carry the highest sentences - up to a statutory maximum of life imprisonment for </w:t>
      </w:r>
      <w:hyperlink r:id="rId9" w:history="1">
        <w:r w:rsidRPr="0037290A">
          <w:rPr>
            <w:rStyle w:val="Hyperlink"/>
          </w:rPr>
          <w:t>Class A</w:t>
        </w:r>
      </w:hyperlink>
      <w:r w:rsidRPr="0037290A">
        <w:t xml:space="preserve"> drugs (e.g. heroin/ecstasy/LSD) and a statutory maximum of 14 years for </w:t>
      </w:r>
      <w:hyperlink r:id="rId10" w:history="1">
        <w:r w:rsidRPr="0037290A">
          <w:rPr>
            <w:rStyle w:val="Hyperlink"/>
          </w:rPr>
          <w:t>Class B</w:t>
        </w:r>
      </w:hyperlink>
      <w:r w:rsidRPr="0037290A">
        <w:t xml:space="preserve"> drugs (e.g. amphetamines/cannabis/ketamine) based on quantity and the role of the offender.</w:t>
      </w:r>
    </w:p>
    <w:p w14:paraId="50D5503A" w14:textId="77777777" w:rsidR="00DE0DE7" w:rsidRDefault="00DE0DE7" w:rsidP="00DE0DE7">
      <w:pPr>
        <w:pStyle w:val="ListBullet"/>
        <w:numPr>
          <w:ilvl w:val="0"/>
          <w:numId w:val="0"/>
        </w:numPr>
      </w:pPr>
      <w:r w:rsidRPr="0037290A">
        <w:t xml:space="preserve">New and more powerful drugs have also been brought onto the market over recent years, including various kinds of “Spice”, and synthetic opioids such as fentanyl and carfentanil. The new MDA guidelines provide for such drugs. In the assessment of harm, the quantity of some drugs has been updated to reflect the change in purity (ecstasy) and yield (cannabis) of the drugs since the 2012 guidelines. </w:t>
      </w:r>
    </w:p>
    <w:p w14:paraId="227394D8" w14:textId="77777777" w:rsidR="00DE0DE7" w:rsidRPr="0037290A" w:rsidRDefault="00DE0DE7" w:rsidP="00DE0DE7">
      <w:pPr>
        <w:rPr>
          <w:rFonts w:cs="Arial"/>
        </w:rPr>
      </w:pPr>
      <w:r w:rsidRPr="0037290A">
        <w:rPr>
          <w:rFonts w:cs="Arial"/>
        </w:rPr>
        <w:t xml:space="preserve">The PSA offences are similar to those under the MDA 1971 and, for the offences of trafficking, supplying or producing illegal drugs, the same approach used to assess culpability for the MDA offences will be applied. Offences under PSA carry up to seven years in custody. </w:t>
      </w:r>
    </w:p>
    <w:p w14:paraId="4721D8CB" w14:textId="77777777" w:rsidR="00DE0DE7" w:rsidRPr="00083BA6" w:rsidRDefault="00DE0DE7" w:rsidP="00DE0DE7">
      <w:pPr>
        <w:rPr>
          <w:rFonts w:cs="Arial"/>
          <w:szCs w:val="22"/>
        </w:rPr>
      </w:pPr>
      <w:r w:rsidRPr="0037290A">
        <w:rPr>
          <w:rFonts w:cs="Arial"/>
        </w:rPr>
        <w:lastRenderedPageBreak/>
        <w:t xml:space="preserve">The main difference in sentencing between MDA and PSA offences is in relation to harm. Unlike MDA offences, there is no list in the PSA of psychoactive substances controlled under the act. Rather, a psychoactive substance is defined by its effect on the user, and the intention of the offender in supplying, importing or producing it. The guidelines provide an approach for sentencers to use in </w:t>
      </w:r>
      <w:r w:rsidRPr="00083BA6">
        <w:rPr>
          <w:rFonts w:cs="Arial"/>
          <w:szCs w:val="22"/>
        </w:rPr>
        <w:t xml:space="preserve">assessing harm of these wide-ranging substances. </w:t>
      </w:r>
    </w:p>
    <w:p w14:paraId="2F412DD6" w14:textId="04734C14" w:rsidR="00DE0DE7" w:rsidRDefault="00083BA6" w:rsidP="00D966CE">
      <w:pPr>
        <w:rPr>
          <w:rFonts w:cs="Arial"/>
          <w:szCs w:val="22"/>
        </w:rPr>
      </w:pPr>
      <w:r w:rsidRPr="00083BA6">
        <w:rPr>
          <w:rFonts w:cs="Arial"/>
          <w:szCs w:val="22"/>
        </w:rPr>
        <w:t xml:space="preserve">A </w:t>
      </w:r>
      <w:hyperlink r:id="rId11" w:history="1">
        <w:r w:rsidRPr="00083BA6">
          <w:rPr>
            <w:rStyle w:val="Hyperlink"/>
            <w:rFonts w:cs="Arial"/>
            <w:szCs w:val="22"/>
          </w:rPr>
          <w:t xml:space="preserve">press notice </w:t>
        </w:r>
      </w:hyperlink>
      <w:r w:rsidRPr="00083BA6">
        <w:rPr>
          <w:rFonts w:cs="Arial"/>
          <w:szCs w:val="22"/>
        </w:rPr>
        <w:t xml:space="preserve">, the </w:t>
      </w:r>
      <w:hyperlink r:id="rId12" w:history="1">
        <w:r w:rsidRPr="004E7625">
          <w:rPr>
            <w:rStyle w:val="Hyperlink"/>
            <w:rFonts w:cs="Arial"/>
            <w:szCs w:val="22"/>
          </w:rPr>
          <w:t>response</w:t>
        </w:r>
      </w:hyperlink>
      <w:r>
        <w:rPr>
          <w:rFonts w:cs="Arial"/>
          <w:szCs w:val="22"/>
        </w:rPr>
        <w:t xml:space="preserve"> to consultation</w:t>
      </w:r>
      <w:r w:rsidRPr="00083BA6">
        <w:rPr>
          <w:rFonts w:cs="Arial"/>
          <w:szCs w:val="22"/>
        </w:rPr>
        <w:t xml:space="preserve"> and the </w:t>
      </w:r>
      <w:hyperlink r:id="rId13" w:tgtFrame="_blank" w:history="1">
        <w:r w:rsidRPr="00083BA6">
          <w:rPr>
            <w:rStyle w:val="Hyperlink"/>
            <w:rFonts w:cs="Arial"/>
            <w:szCs w:val="22"/>
          </w:rPr>
          <w:t>guidelines</w:t>
        </w:r>
      </w:hyperlink>
      <w:r w:rsidRPr="00083BA6">
        <w:rPr>
          <w:rFonts w:cs="Arial"/>
          <w:szCs w:val="22"/>
        </w:rPr>
        <w:t xml:space="preserve"> are available on the Sentencing Council website.</w:t>
      </w:r>
    </w:p>
    <w:p w14:paraId="6FF04929" w14:textId="77777777" w:rsidR="00083BA6" w:rsidRPr="00083BA6" w:rsidRDefault="00083BA6" w:rsidP="00D966CE">
      <w:pPr>
        <w:rPr>
          <w:rFonts w:cs="Arial"/>
          <w:szCs w:val="22"/>
        </w:rPr>
      </w:pPr>
    </w:p>
    <w:p w14:paraId="725C9F7A" w14:textId="77777777" w:rsidR="00083BA6" w:rsidRDefault="00083BA6" w:rsidP="00D966CE">
      <w:pPr>
        <w:rPr>
          <w:rFonts w:cs="Arial"/>
          <w:szCs w:val="22"/>
        </w:rPr>
      </w:pPr>
    </w:p>
    <w:p w14:paraId="31E39FEE" w14:textId="77777777" w:rsidR="00B03689" w:rsidRPr="00D966CE" w:rsidRDefault="00B03689" w:rsidP="00D966CE"/>
    <w:sectPr w:rsidR="00B03689" w:rsidRPr="00D966CE">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C446D" w14:textId="77777777" w:rsidR="006C6DE4" w:rsidRDefault="006C6DE4" w:rsidP="006C6DE4">
      <w:pPr>
        <w:spacing w:after="0" w:line="240" w:lineRule="auto"/>
      </w:pPr>
      <w:r>
        <w:separator/>
      </w:r>
    </w:p>
  </w:endnote>
  <w:endnote w:type="continuationSeparator" w:id="0">
    <w:p w14:paraId="059EF1CA" w14:textId="77777777" w:rsidR="006C6DE4" w:rsidRDefault="006C6DE4" w:rsidP="006C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52251" w14:textId="77777777" w:rsidR="006C6DE4" w:rsidRDefault="006C6DE4" w:rsidP="006C6DE4">
      <w:pPr>
        <w:spacing w:after="0" w:line="240" w:lineRule="auto"/>
      </w:pPr>
      <w:r>
        <w:separator/>
      </w:r>
    </w:p>
  </w:footnote>
  <w:footnote w:type="continuationSeparator" w:id="0">
    <w:p w14:paraId="7DC5D26F" w14:textId="77777777" w:rsidR="006C6DE4" w:rsidRDefault="006C6DE4" w:rsidP="006C6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831268"/>
      <w:docPartObj>
        <w:docPartGallery w:val="Page Numbers (Top of Page)"/>
        <w:docPartUnique/>
      </w:docPartObj>
    </w:sdtPr>
    <w:sdtEndPr>
      <w:rPr>
        <w:noProof/>
      </w:rPr>
    </w:sdtEndPr>
    <w:sdtContent>
      <w:p w14:paraId="616B624D" w14:textId="3A71F1B5" w:rsidR="006C6DE4" w:rsidRDefault="006C6DE4">
        <w:pPr>
          <w:pStyle w:val="Header"/>
          <w:jc w:val="center"/>
        </w:pPr>
        <w:r>
          <w:fldChar w:fldCharType="begin"/>
        </w:r>
        <w:r>
          <w:instrText xml:space="preserve"> PAGE   \* MERGEFORMAT </w:instrText>
        </w:r>
        <w:r>
          <w:fldChar w:fldCharType="separate"/>
        </w:r>
        <w:r w:rsidR="00226114">
          <w:rPr>
            <w:noProof/>
          </w:rPr>
          <w:t>1</w:t>
        </w:r>
        <w:r>
          <w:rPr>
            <w:noProof/>
          </w:rPr>
          <w:fldChar w:fldCharType="end"/>
        </w:r>
      </w:p>
    </w:sdtContent>
  </w:sdt>
  <w:p w14:paraId="53842639" w14:textId="109F01B0" w:rsidR="006C6DE4" w:rsidRDefault="008663E9" w:rsidP="008663E9">
    <w:pPr>
      <w:pStyle w:val="Header"/>
      <w:tabs>
        <w:tab w:val="clear" w:pos="4513"/>
        <w:tab w:val="clear" w:pos="9026"/>
        <w:tab w:val="left" w:pos="20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E8675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EC20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AC24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283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E6EC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8812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1A51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BEEC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3483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609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D129FA"/>
    <w:multiLevelType w:val="hybridMultilevel"/>
    <w:tmpl w:val="2A94F7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704C67"/>
    <w:multiLevelType w:val="hybridMultilevel"/>
    <w:tmpl w:val="228CD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7310F0"/>
    <w:multiLevelType w:val="hybridMultilevel"/>
    <w:tmpl w:val="C6149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6058C3"/>
    <w:multiLevelType w:val="hybridMultilevel"/>
    <w:tmpl w:val="3F68D246"/>
    <w:lvl w:ilvl="0" w:tplc="5C36FE10">
      <w:start w:val="1"/>
      <w:numFmt w:val="bullet"/>
      <w:pStyle w:val="ListBullet"/>
      <w:lvlText w:val=""/>
      <w:lvlJc w:val="left"/>
      <w:pPr>
        <w:tabs>
          <w:tab w:val="num" w:pos="1648"/>
        </w:tabs>
        <w:ind w:left="1648" w:hanging="720"/>
      </w:pPr>
      <w:rPr>
        <w:rFonts w:ascii="Symbol" w:hAnsi="Symbol" w:hint="default"/>
        <w:b w:val="0"/>
        <w:i w:val="0"/>
        <w:sz w:val="20"/>
      </w:rPr>
    </w:lvl>
    <w:lvl w:ilvl="1" w:tplc="08090003">
      <w:start w:val="1"/>
      <w:numFmt w:val="decimal"/>
      <w:lvlText w:val="%2."/>
      <w:lvlJc w:val="left"/>
      <w:pPr>
        <w:tabs>
          <w:tab w:val="num" w:pos="2008"/>
        </w:tabs>
        <w:ind w:left="2008" w:hanging="360"/>
      </w:pPr>
    </w:lvl>
    <w:lvl w:ilvl="2" w:tplc="08090005">
      <w:start w:val="1"/>
      <w:numFmt w:val="decimal"/>
      <w:lvlText w:val="%3."/>
      <w:lvlJc w:val="left"/>
      <w:pPr>
        <w:tabs>
          <w:tab w:val="num" w:pos="2728"/>
        </w:tabs>
        <w:ind w:left="2728" w:hanging="360"/>
      </w:pPr>
    </w:lvl>
    <w:lvl w:ilvl="3" w:tplc="08090001">
      <w:start w:val="1"/>
      <w:numFmt w:val="decimal"/>
      <w:lvlText w:val="%4."/>
      <w:lvlJc w:val="left"/>
      <w:pPr>
        <w:tabs>
          <w:tab w:val="num" w:pos="3448"/>
        </w:tabs>
        <w:ind w:left="3448" w:hanging="360"/>
      </w:pPr>
    </w:lvl>
    <w:lvl w:ilvl="4" w:tplc="08090003">
      <w:start w:val="1"/>
      <w:numFmt w:val="decimal"/>
      <w:lvlText w:val="%5."/>
      <w:lvlJc w:val="left"/>
      <w:pPr>
        <w:tabs>
          <w:tab w:val="num" w:pos="4168"/>
        </w:tabs>
        <w:ind w:left="4168" w:hanging="360"/>
      </w:pPr>
    </w:lvl>
    <w:lvl w:ilvl="5" w:tplc="08090005">
      <w:start w:val="1"/>
      <w:numFmt w:val="decimal"/>
      <w:lvlText w:val="%6."/>
      <w:lvlJc w:val="left"/>
      <w:pPr>
        <w:tabs>
          <w:tab w:val="num" w:pos="4888"/>
        </w:tabs>
        <w:ind w:left="4888" w:hanging="360"/>
      </w:pPr>
    </w:lvl>
    <w:lvl w:ilvl="6" w:tplc="08090001">
      <w:start w:val="1"/>
      <w:numFmt w:val="decimal"/>
      <w:lvlText w:val="%7."/>
      <w:lvlJc w:val="left"/>
      <w:pPr>
        <w:tabs>
          <w:tab w:val="num" w:pos="5608"/>
        </w:tabs>
        <w:ind w:left="5608" w:hanging="360"/>
      </w:pPr>
    </w:lvl>
    <w:lvl w:ilvl="7" w:tplc="08090003">
      <w:start w:val="1"/>
      <w:numFmt w:val="decimal"/>
      <w:lvlText w:val="%8."/>
      <w:lvlJc w:val="left"/>
      <w:pPr>
        <w:tabs>
          <w:tab w:val="num" w:pos="6328"/>
        </w:tabs>
        <w:ind w:left="6328" w:hanging="360"/>
      </w:pPr>
    </w:lvl>
    <w:lvl w:ilvl="8" w:tplc="08090005">
      <w:start w:val="1"/>
      <w:numFmt w:val="decimal"/>
      <w:lvlText w:val="%9."/>
      <w:lvlJc w:val="left"/>
      <w:pPr>
        <w:tabs>
          <w:tab w:val="num" w:pos="7048"/>
        </w:tabs>
        <w:ind w:left="7048" w:hanging="360"/>
      </w:pPr>
    </w:lvl>
  </w:abstractNum>
  <w:abstractNum w:abstractNumId="14" w15:restartNumberingAfterBreak="0">
    <w:nsid w:val="326B613D"/>
    <w:multiLevelType w:val="hybridMultilevel"/>
    <w:tmpl w:val="A5E6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3E05BB"/>
    <w:multiLevelType w:val="multilevel"/>
    <w:tmpl w:val="79262586"/>
    <w:lvl w:ilvl="0">
      <w:start w:val="1"/>
      <w:numFmt w:val="decimal"/>
      <w:pStyle w:val="NumberedL1"/>
      <w:lvlText w:val="%1"/>
      <w:lvlJc w:val="left"/>
      <w:pPr>
        <w:tabs>
          <w:tab w:val="num" w:pos="0"/>
        </w:tabs>
        <w:ind w:left="0" w:firstLine="0"/>
      </w:pPr>
      <w:rPr>
        <w:rFonts w:hint="default"/>
      </w:rPr>
    </w:lvl>
    <w:lvl w:ilvl="1">
      <w:start w:val="1"/>
      <w:numFmt w:val="decimal"/>
      <w:pStyle w:val="NumberedL2"/>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6E76C6"/>
    <w:multiLevelType w:val="hybridMultilevel"/>
    <w:tmpl w:val="2692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C1391A"/>
    <w:multiLevelType w:val="hybridMultilevel"/>
    <w:tmpl w:val="BFD4CE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4F82106"/>
    <w:multiLevelType w:val="hybridMultilevel"/>
    <w:tmpl w:val="1C2E8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36E5E0D"/>
    <w:multiLevelType w:val="hybridMultilevel"/>
    <w:tmpl w:val="BDF846F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22C7B45"/>
    <w:multiLevelType w:val="hybridMultilevel"/>
    <w:tmpl w:val="8DF80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DA4212"/>
    <w:multiLevelType w:val="hybridMultilevel"/>
    <w:tmpl w:val="CA5E2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3D088A"/>
    <w:multiLevelType w:val="hybridMultilevel"/>
    <w:tmpl w:val="AD40D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8"/>
  </w:num>
  <w:num w:numId="2">
    <w:abstractNumId w:val="22"/>
  </w:num>
  <w:num w:numId="3">
    <w:abstractNumId w:val="15"/>
  </w:num>
  <w:num w:numId="4">
    <w:abstractNumId w:val="11"/>
  </w:num>
  <w:num w:numId="5">
    <w:abstractNumId w:val="14"/>
  </w:num>
  <w:num w:numId="6">
    <w:abstractNumId w:val="21"/>
  </w:num>
  <w:num w:numId="7">
    <w:abstractNumId w:val="20"/>
  </w:num>
  <w:num w:numId="8">
    <w:abstractNumId w:val="17"/>
  </w:num>
  <w:num w:numId="9">
    <w:abstractNumId w:val="12"/>
  </w:num>
  <w:num w:numId="10">
    <w:abstractNumId w:val="10"/>
  </w:num>
  <w:num w:numId="11">
    <w:abstractNumId w:val="19"/>
  </w:num>
  <w:num w:numId="12">
    <w:abstractNumId w:val="16"/>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C76"/>
    <w:rsid w:val="00013250"/>
    <w:rsid w:val="00013C72"/>
    <w:rsid w:val="00033ABD"/>
    <w:rsid w:val="000566D2"/>
    <w:rsid w:val="000571FC"/>
    <w:rsid w:val="00062302"/>
    <w:rsid w:val="00083BA6"/>
    <w:rsid w:val="00096280"/>
    <w:rsid w:val="000D3095"/>
    <w:rsid w:val="000F54FC"/>
    <w:rsid w:val="0012129A"/>
    <w:rsid w:val="00152770"/>
    <w:rsid w:val="00195438"/>
    <w:rsid w:val="001C3677"/>
    <w:rsid w:val="001E1C76"/>
    <w:rsid w:val="001E5600"/>
    <w:rsid w:val="002063C6"/>
    <w:rsid w:val="00226114"/>
    <w:rsid w:val="00236918"/>
    <w:rsid w:val="00254185"/>
    <w:rsid w:val="00271BF3"/>
    <w:rsid w:val="00286E9E"/>
    <w:rsid w:val="002966DF"/>
    <w:rsid w:val="002A3EE0"/>
    <w:rsid w:val="002C3860"/>
    <w:rsid w:val="002C40BA"/>
    <w:rsid w:val="002C46AB"/>
    <w:rsid w:val="002E1536"/>
    <w:rsid w:val="002F0EA0"/>
    <w:rsid w:val="00313AB3"/>
    <w:rsid w:val="00314C4C"/>
    <w:rsid w:val="00322708"/>
    <w:rsid w:val="00330DCD"/>
    <w:rsid w:val="003555A6"/>
    <w:rsid w:val="003616D5"/>
    <w:rsid w:val="003715CD"/>
    <w:rsid w:val="00393793"/>
    <w:rsid w:val="0039422B"/>
    <w:rsid w:val="00394A75"/>
    <w:rsid w:val="003B5906"/>
    <w:rsid w:val="003C4E3E"/>
    <w:rsid w:val="003C57ED"/>
    <w:rsid w:val="003D5DCD"/>
    <w:rsid w:val="003D7941"/>
    <w:rsid w:val="003E2963"/>
    <w:rsid w:val="003F4244"/>
    <w:rsid w:val="00426939"/>
    <w:rsid w:val="004334DC"/>
    <w:rsid w:val="00443F6A"/>
    <w:rsid w:val="00446ED5"/>
    <w:rsid w:val="00452C1E"/>
    <w:rsid w:val="004568D6"/>
    <w:rsid w:val="00462EFC"/>
    <w:rsid w:val="00481BDC"/>
    <w:rsid w:val="00486547"/>
    <w:rsid w:val="00490FDE"/>
    <w:rsid w:val="004A2269"/>
    <w:rsid w:val="004A2686"/>
    <w:rsid w:val="004A3FEB"/>
    <w:rsid w:val="004D037C"/>
    <w:rsid w:val="004D0FA3"/>
    <w:rsid w:val="004F7C47"/>
    <w:rsid w:val="00556809"/>
    <w:rsid w:val="00560EDD"/>
    <w:rsid w:val="005D7B8F"/>
    <w:rsid w:val="005E2EEB"/>
    <w:rsid w:val="005F4417"/>
    <w:rsid w:val="00606A36"/>
    <w:rsid w:val="00610335"/>
    <w:rsid w:val="00620961"/>
    <w:rsid w:val="00652ADD"/>
    <w:rsid w:val="006C6DE4"/>
    <w:rsid w:val="006C7D55"/>
    <w:rsid w:val="006D0265"/>
    <w:rsid w:val="007323A9"/>
    <w:rsid w:val="0074416D"/>
    <w:rsid w:val="007657A1"/>
    <w:rsid w:val="00766DCE"/>
    <w:rsid w:val="00777A18"/>
    <w:rsid w:val="007A62ED"/>
    <w:rsid w:val="007A6464"/>
    <w:rsid w:val="007B2358"/>
    <w:rsid w:val="007B2C04"/>
    <w:rsid w:val="007D1FC8"/>
    <w:rsid w:val="007D66A6"/>
    <w:rsid w:val="007E0CBA"/>
    <w:rsid w:val="00814B2D"/>
    <w:rsid w:val="00821349"/>
    <w:rsid w:val="008263F0"/>
    <w:rsid w:val="00840B74"/>
    <w:rsid w:val="008663E9"/>
    <w:rsid w:val="00875FE7"/>
    <w:rsid w:val="00876FBB"/>
    <w:rsid w:val="00885C89"/>
    <w:rsid w:val="00893602"/>
    <w:rsid w:val="009105B8"/>
    <w:rsid w:val="009360A6"/>
    <w:rsid w:val="00964901"/>
    <w:rsid w:val="00972193"/>
    <w:rsid w:val="009733B2"/>
    <w:rsid w:val="009765A1"/>
    <w:rsid w:val="0097698E"/>
    <w:rsid w:val="00985CE1"/>
    <w:rsid w:val="009C5944"/>
    <w:rsid w:val="009D0107"/>
    <w:rsid w:val="009E1B27"/>
    <w:rsid w:val="009E527D"/>
    <w:rsid w:val="00A139F5"/>
    <w:rsid w:val="00A33EBC"/>
    <w:rsid w:val="00A42FC7"/>
    <w:rsid w:val="00A502F3"/>
    <w:rsid w:val="00A53E4B"/>
    <w:rsid w:val="00A601CC"/>
    <w:rsid w:val="00A646B5"/>
    <w:rsid w:val="00AA300C"/>
    <w:rsid w:val="00AA792B"/>
    <w:rsid w:val="00AB05AE"/>
    <w:rsid w:val="00AB58A6"/>
    <w:rsid w:val="00AC632D"/>
    <w:rsid w:val="00AF38E8"/>
    <w:rsid w:val="00AF65BA"/>
    <w:rsid w:val="00B03583"/>
    <w:rsid w:val="00B03689"/>
    <w:rsid w:val="00B31B81"/>
    <w:rsid w:val="00B547C6"/>
    <w:rsid w:val="00B551DC"/>
    <w:rsid w:val="00B566BD"/>
    <w:rsid w:val="00B753C9"/>
    <w:rsid w:val="00BA13B2"/>
    <w:rsid w:val="00BA2D83"/>
    <w:rsid w:val="00BA3B1B"/>
    <w:rsid w:val="00BB66D9"/>
    <w:rsid w:val="00BE41F9"/>
    <w:rsid w:val="00BF0496"/>
    <w:rsid w:val="00C31C1D"/>
    <w:rsid w:val="00C33DF6"/>
    <w:rsid w:val="00C40A59"/>
    <w:rsid w:val="00C42657"/>
    <w:rsid w:val="00C57C59"/>
    <w:rsid w:val="00C70167"/>
    <w:rsid w:val="00C702EC"/>
    <w:rsid w:val="00C86C91"/>
    <w:rsid w:val="00CE3FDD"/>
    <w:rsid w:val="00D2626C"/>
    <w:rsid w:val="00D30FBF"/>
    <w:rsid w:val="00D42318"/>
    <w:rsid w:val="00D52024"/>
    <w:rsid w:val="00D6331B"/>
    <w:rsid w:val="00D642F7"/>
    <w:rsid w:val="00D91061"/>
    <w:rsid w:val="00D94F7A"/>
    <w:rsid w:val="00D966CE"/>
    <w:rsid w:val="00DB3E18"/>
    <w:rsid w:val="00DE0DE7"/>
    <w:rsid w:val="00DE6A2C"/>
    <w:rsid w:val="00DF143C"/>
    <w:rsid w:val="00DF3383"/>
    <w:rsid w:val="00DF58CD"/>
    <w:rsid w:val="00E01970"/>
    <w:rsid w:val="00E1720B"/>
    <w:rsid w:val="00E33954"/>
    <w:rsid w:val="00E40D4C"/>
    <w:rsid w:val="00E43F7E"/>
    <w:rsid w:val="00E5765D"/>
    <w:rsid w:val="00E6359B"/>
    <w:rsid w:val="00E94A40"/>
    <w:rsid w:val="00ED76CD"/>
    <w:rsid w:val="00F04838"/>
    <w:rsid w:val="00F477E4"/>
    <w:rsid w:val="00F709D3"/>
    <w:rsid w:val="00F7375F"/>
    <w:rsid w:val="00F876A7"/>
    <w:rsid w:val="00FA149F"/>
    <w:rsid w:val="00FA5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FE5C"/>
  <w15:chartTrackingRefBased/>
  <w15:docId w15:val="{1835D3A2-59A6-4A8A-AD96-E21F7F88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6CE"/>
    <w:pPr>
      <w:spacing w:after="120" w:line="312" w:lineRule="auto"/>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972193"/>
    <w:pPr>
      <w:keepNext/>
      <w:keepLines/>
      <w:spacing w:after="36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D966CE"/>
    <w:pPr>
      <w:keepNext/>
      <w:keepLines/>
      <w:spacing w:before="240"/>
      <w:contextualSpacing/>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E01970"/>
    <w:rPr>
      <w:i/>
      <w:iCs/>
    </w:rPr>
  </w:style>
  <w:style w:type="paragraph" w:customStyle="1" w:styleId="NumberedL2">
    <w:name w:val="Numbered L2"/>
    <w:basedOn w:val="Normal"/>
    <w:link w:val="NumberedL2CharChar"/>
    <w:rsid w:val="00E01970"/>
    <w:pPr>
      <w:numPr>
        <w:ilvl w:val="1"/>
        <w:numId w:val="3"/>
      </w:numPr>
      <w:spacing w:line="360" w:lineRule="auto"/>
      <w:ind w:left="720" w:hanging="720"/>
      <w:jc w:val="both"/>
    </w:pPr>
  </w:style>
  <w:style w:type="character" w:customStyle="1" w:styleId="NumberedL2CharChar">
    <w:name w:val="Numbered L2 Char Char"/>
    <w:link w:val="NumberedL2"/>
    <w:rsid w:val="00E01970"/>
    <w:rPr>
      <w:rFonts w:ascii="Arial" w:eastAsia="Times New Roman" w:hAnsi="Arial" w:cs="Times New Roman"/>
      <w:szCs w:val="24"/>
      <w:lang w:eastAsia="en-GB"/>
    </w:rPr>
  </w:style>
  <w:style w:type="paragraph" w:customStyle="1" w:styleId="NumberedL1">
    <w:name w:val="Numbered L1"/>
    <w:basedOn w:val="NumberedL2"/>
    <w:rsid w:val="00E01970"/>
    <w:pPr>
      <w:numPr>
        <w:ilvl w:val="0"/>
      </w:numPr>
      <w:tabs>
        <w:tab w:val="clear" w:pos="0"/>
        <w:tab w:val="num" w:pos="360"/>
        <w:tab w:val="num" w:pos="720"/>
        <w:tab w:val="num" w:pos="960"/>
      </w:tabs>
      <w:spacing w:before="120" w:line="240" w:lineRule="auto"/>
      <w:ind w:left="720" w:hanging="360"/>
    </w:pPr>
    <w:rPr>
      <w:b/>
      <w:caps/>
    </w:rPr>
  </w:style>
  <w:style w:type="paragraph" w:styleId="ListParagraph">
    <w:name w:val="List Paragraph"/>
    <w:basedOn w:val="Normal"/>
    <w:uiPriority w:val="34"/>
    <w:qFormat/>
    <w:rsid w:val="00E01970"/>
    <w:pPr>
      <w:ind w:left="720"/>
    </w:pPr>
  </w:style>
  <w:style w:type="paragraph" w:styleId="TOC1">
    <w:name w:val="toc 1"/>
    <w:semiHidden/>
    <w:rsid w:val="00486547"/>
    <w:pPr>
      <w:tabs>
        <w:tab w:val="right" w:pos="7655"/>
      </w:tabs>
      <w:spacing w:after="120" w:line="240" w:lineRule="auto"/>
    </w:pPr>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1C36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677"/>
    <w:rPr>
      <w:rFonts w:ascii="Segoe UI" w:eastAsia="Times New Roman" w:hAnsi="Segoe UI" w:cs="Segoe UI"/>
      <w:sz w:val="18"/>
      <w:szCs w:val="18"/>
      <w:lang w:eastAsia="en-GB"/>
    </w:rPr>
  </w:style>
  <w:style w:type="paragraph" w:styleId="NormalWeb">
    <w:name w:val="Normal (Web)"/>
    <w:basedOn w:val="Normal"/>
    <w:uiPriority w:val="99"/>
    <w:semiHidden/>
    <w:unhideWhenUsed/>
    <w:rsid w:val="00985CE1"/>
    <w:pPr>
      <w:spacing w:before="100" w:beforeAutospacing="1" w:after="100" w:afterAutospacing="1"/>
    </w:pPr>
  </w:style>
  <w:style w:type="character" w:styleId="Hyperlink">
    <w:name w:val="Hyperlink"/>
    <w:rsid w:val="0097698E"/>
    <w:rPr>
      <w:color w:val="0000FF"/>
      <w:u w:val="single"/>
    </w:rPr>
  </w:style>
  <w:style w:type="character" w:styleId="CommentReference">
    <w:name w:val="annotation reference"/>
    <w:basedOn w:val="DefaultParagraphFont"/>
    <w:uiPriority w:val="99"/>
    <w:semiHidden/>
    <w:unhideWhenUsed/>
    <w:rsid w:val="000D3095"/>
    <w:rPr>
      <w:sz w:val="16"/>
      <w:szCs w:val="16"/>
    </w:rPr>
  </w:style>
  <w:style w:type="paragraph" w:styleId="CommentText">
    <w:name w:val="annotation text"/>
    <w:basedOn w:val="Normal"/>
    <w:link w:val="CommentTextChar"/>
    <w:uiPriority w:val="99"/>
    <w:unhideWhenUsed/>
    <w:rsid w:val="000D3095"/>
    <w:rPr>
      <w:sz w:val="20"/>
      <w:szCs w:val="20"/>
    </w:rPr>
  </w:style>
  <w:style w:type="character" w:customStyle="1" w:styleId="CommentTextChar">
    <w:name w:val="Comment Text Char"/>
    <w:basedOn w:val="DefaultParagraphFont"/>
    <w:link w:val="CommentText"/>
    <w:uiPriority w:val="99"/>
    <w:rsid w:val="000D309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D3095"/>
    <w:rPr>
      <w:b/>
      <w:bCs/>
    </w:rPr>
  </w:style>
  <w:style w:type="character" w:customStyle="1" w:styleId="CommentSubjectChar">
    <w:name w:val="Comment Subject Char"/>
    <w:basedOn w:val="CommentTextChar"/>
    <w:link w:val="CommentSubject"/>
    <w:uiPriority w:val="99"/>
    <w:semiHidden/>
    <w:rsid w:val="000D3095"/>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972193"/>
    <w:rPr>
      <w:rFonts w:ascii="Arial" w:eastAsiaTheme="majorEastAsia" w:hAnsi="Arial" w:cstheme="majorBidi"/>
      <w:b/>
      <w:sz w:val="28"/>
      <w:szCs w:val="32"/>
      <w:lang w:eastAsia="en-GB"/>
    </w:rPr>
  </w:style>
  <w:style w:type="character" w:customStyle="1" w:styleId="Heading2Char">
    <w:name w:val="Heading 2 Char"/>
    <w:basedOn w:val="DefaultParagraphFont"/>
    <w:link w:val="Heading2"/>
    <w:uiPriority w:val="9"/>
    <w:rsid w:val="00D966CE"/>
    <w:rPr>
      <w:rFonts w:ascii="Arial" w:eastAsiaTheme="majorEastAsia" w:hAnsi="Arial" w:cstheme="majorBidi"/>
      <w:b/>
      <w:szCs w:val="26"/>
      <w:lang w:eastAsia="en-GB"/>
    </w:rPr>
  </w:style>
  <w:style w:type="paragraph" w:styleId="ListNumber">
    <w:name w:val="List Number"/>
    <w:basedOn w:val="Normal"/>
    <w:uiPriority w:val="99"/>
    <w:unhideWhenUsed/>
    <w:rsid w:val="00814B2D"/>
    <w:pPr>
      <w:numPr>
        <w:numId w:val="18"/>
      </w:numPr>
      <w:contextualSpacing/>
    </w:pPr>
  </w:style>
  <w:style w:type="character" w:customStyle="1" w:styleId="UnresolvedMention">
    <w:name w:val="Unresolved Mention"/>
    <w:basedOn w:val="DefaultParagraphFont"/>
    <w:uiPriority w:val="99"/>
    <w:semiHidden/>
    <w:unhideWhenUsed/>
    <w:rsid w:val="00814B2D"/>
    <w:rPr>
      <w:color w:val="808080"/>
      <w:shd w:val="clear" w:color="auto" w:fill="E6E6E6"/>
    </w:rPr>
  </w:style>
  <w:style w:type="paragraph" w:styleId="Header">
    <w:name w:val="header"/>
    <w:basedOn w:val="Normal"/>
    <w:link w:val="HeaderChar"/>
    <w:uiPriority w:val="99"/>
    <w:unhideWhenUsed/>
    <w:rsid w:val="006C6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DE4"/>
    <w:rPr>
      <w:rFonts w:ascii="Arial" w:eastAsia="Times New Roman" w:hAnsi="Arial" w:cs="Times New Roman"/>
      <w:szCs w:val="24"/>
      <w:lang w:eastAsia="en-GB"/>
    </w:rPr>
  </w:style>
  <w:style w:type="paragraph" w:styleId="Footer">
    <w:name w:val="footer"/>
    <w:basedOn w:val="Normal"/>
    <w:link w:val="FooterChar"/>
    <w:uiPriority w:val="99"/>
    <w:unhideWhenUsed/>
    <w:rsid w:val="006C6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DE4"/>
    <w:rPr>
      <w:rFonts w:ascii="Arial" w:eastAsia="Times New Roman" w:hAnsi="Arial" w:cs="Times New Roman"/>
      <w:szCs w:val="24"/>
      <w:lang w:eastAsia="en-GB"/>
    </w:rPr>
  </w:style>
  <w:style w:type="character" w:styleId="FollowedHyperlink">
    <w:name w:val="FollowedHyperlink"/>
    <w:basedOn w:val="DefaultParagraphFont"/>
    <w:uiPriority w:val="99"/>
    <w:semiHidden/>
    <w:unhideWhenUsed/>
    <w:rsid w:val="00446ED5"/>
    <w:rPr>
      <w:color w:val="954F72" w:themeColor="followedHyperlink"/>
      <w:u w:val="single"/>
    </w:rPr>
  </w:style>
  <w:style w:type="paragraph" w:styleId="ListBullet">
    <w:name w:val="List Bullet"/>
    <w:basedOn w:val="Normal"/>
    <w:uiPriority w:val="99"/>
    <w:unhideWhenUsed/>
    <w:qFormat/>
    <w:rsid w:val="00DE0DE7"/>
    <w:pPr>
      <w:numPr>
        <w:numId w:val="23"/>
      </w:numPr>
      <w:spacing w:line="252" w:lineRule="auto"/>
    </w:pPr>
    <w:rPr>
      <w:rFonts w:eastAsiaTheme="minorHAns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474013">
      <w:bodyDiv w:val="1"/>
      <w:marLeft w:val="0"/>
      <w:marRight w:val="0"/>
      <w:marTop w:val="0"/>
      <w:marBottom w:val="0"/>
      <w:divBdr>
        <w:top w:val="none" w:sz="0" w:space="0" w:color="auto"/>
        <w:left w:val="none" w:sz="0" w:space="0" w:color="auto"/>
        <w:bottom w:val="none" w:sz="0" w:space="0" w:color="auto"/>
        <w:right w:val="none" w:sz="0" w:space="0" w:color="auto"/>
      </w:divBdr>
    </w:div>
    <w:div w:id="9404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ntrolled-drugs-list--2" TargetMode="External"/><Relationship Id="rId13" Type="http://schemas.openxmlformats.org/officeDocument/2006/relationships/hyperlink" Target="https://www.sentencingcouncil.org.uk/crown-court?s&amp;collection=drug-offenc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entencingcouncil.org.uk/publications/item/drug-offences-response-to-consultation-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ntencingcouncil.org.uk/news/item/drug-offences-sentencing-guidelines-revised-as-offending-chang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controlled-drugs-list--2/list-of-most-commonly-encountered-drugs-currently-controlled-under-the-misuse-of-drugs-legislation" TargetMode="External"/><Relationship Id="rId4" Type="http://schemas.openxmlformats.org/officeDocument/2006/relationships/webSettings" Target="webSettings.xml"/><Relationship Id="rId9" Type="http://schemas.openxmlformats.org/officeDocument/2006/relationships/hyperlink" Target="https://www.gov.uk/government/publications/controlled-drugs-list--2/list-of-most-commonly-encountered-drugs-currently-controlled-under-the-misuse-of-drugs-legislatio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Montague, Kathryn</dc:creator>
  <cp:keywords/>
  <dc:description/>
  <cp:lastModifiedBy>Sue Johnson</cp:lastModifiedBy>
  <cp:revision>2</cp:revision>
  <cp:lastPrinted>2019-11-19T13:05:00Z</cp:lastPrinted>
  <dcterms:created xsi:type="dcterms:W3CDTF">2021-01-27T10:44:00Z</dcterms:created>
  <dcterms:modified xsi:type="dcterms:W3CDTF">2021-01-27T10:44:00Z</dcterms:modified>
</cp:coreProperties>
</file>